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940B" w14:textId="27460F42" w:rsidR="00825C15" w:rsidRPr="00825C15" w:rsidRDefault="00825C15" w:rsidP="00825C15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inherit" w:eastAsia="微軟正黑體" w:hAnsi="inherit" w:cs="新細明體"/>
          <w:color w:val="888888"/>
          <w:kern w:val="0"/>
          <w:sz w:val="36"/>
          <w:szCs w:val="36"/>
        </w:rPr>
      </w:pP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[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公車資訊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 ]</w:t>
      </w:r>
    </w:p>
    <w:p w14:paraId="40F22005" w14:textId="77777777" w:rsidR="00825C15" w:rsidRPr="00825C15" w:rsidRDefault="00825C15" w:rsidP="00825C15">
      <w:pPr>
        <w:widowControl/>
        <w:numPr>
          <w:ilvl w:val="0"/>
          <w:numId w:val="1"/>
        </w:numPr>
        <w:shd w:val="clear" w:color="auto" w:fill="EE8833"/>
        <w:jc w:val="center"/>
        <w:textAlignment w:val="baseline"/>
        <w:outlineLvl w:val="3"/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捷運龍山寺站</w:t>
      </w:r>
    </w:p>
    <w:p w14:paraId="23C3383C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1、201、231、234、245、264、265、265夜、265區、310、38、38區、49、568、651、656、658、701、705、907、985、藍28、仁愛幹線</w:t>
      </w:r>
    </w:p>
    <w:p w14:paraId="1351162A" w14:textId="77777777" w:rsidR="00825C15" w:rsidRPr="00825C15" w:rsidRDefault="00825C15" w:rsidP="00825C15">
      <w:pPr>
        <w:widowControl/>
        <w:numPr>
          <w:ilvl w:val="0"/>
          <w:numId w:val="1"/>
        </w:numPr>
        <w:shd w:val="clear" w:color="auto" w:fill="EE8833"/>
        <w:jc w:val="center"/>
        <w:textAlignment w:val="baseline"/>
        <w:outlineLvl w:val="3"/>
        <w:rPr>
          <w:rFonts w:ascii="inherit" w:eastAsia="微軟正黑體" w:hAnsi="inherit" w:cs="新細明體" w:hint="eastAsia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萬華車站【康定路】</w:t>
      </w:r>
    </w:p>
    <w:p w14:paraId="28CBFDDC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201、202、205、49、601、62、985、藍29</w:t>
      </w:r>
    </w:p>
    <w:p w14:paraId="34D6A808" w14:textId="77777777" w:rsidR="00825C15" w:rsidRPr="00825C15" w:rsidRDefault="00825C15" w:rsidP="00825C15">
      <w:pPr>
        <w:widowControl/>
        <w:numPr>
          <w:ilvl w:val="0"/>
          <w:numId w:val="1"/>
        </w:numPr>
        <w:shd w:val="clear" w:color="auto" w:fill="EE8833"/>
        <w:jc w:val="center"/>
        <w:textAlignment w:val="baseline"/>
        <w:outlineLvl w:val="3"/>
        <w:rPr>
          <w:rFonts w:ascii="inherit" w:eastAsia="微軟正黑體" w:hAnsi="inherit" w:cs="新細明體" w:hint="eastAsia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萬華車站【艋舺大道】</w:t>
      </w:r>
    </w:p>
    <w:p w14:paraId="29F8FCD8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1820、1821、1825、1915、667、9089、956</w:t>
      </w:r>
    </w:p>
    <w:p w14:paraId="5008BE50" w14:textId="77777777" w:rsidR="00825C15" w:rsidRPr="00825C15" w:rsidRDefault="00825C15" w:rsidP="00825C15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inherit" w:eastAsia="微軟正黑體" w:hAnsi="inherit" w:cs="新細明體" w:hint="eastAsia"/>
          <w:color w:val="888888"/>
          <w:kern w:val="0"/>
          <w:sz w:val="36"/>
          <w:szCs w:val="36"/>
        </w:rPr>
      </w:pP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[ 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捷運資訊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 ]</w:t>
      </w:r>
    </w:p>
    <w:p w14:paraId="7A79E6B7" w14:textId="77777777" w:rsidR="00825C15" w:rsidRPr="00825C15" w:rsidRDefault="00825C15" w:rsidP="00825C15">
      <w:pPr>
        <w:widowControl/>
        <w:numPr>
          <w:ilvl w:val="0"/>
          <w:numId w:val="2"/>
        </w:numPr>
        <w:shd w:val="clear" w:color="auto" w:fill="EE8833"/>
        <w:ind w:left="495"/>
        <w:jc w:val="center"/>
        <w:textAlignment w:val="baseline"/>
        <w:outlineLvl w:val="3"/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龍山寺捷運站</w:t>
      </w:r>
    </w:p>
    <w:p w14:paraId="3194EAA6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495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龍山寺捷運站 2 號出口出站，步行約 5 分鐘</w:t>
      </w:r>
    </w:p>
    <w:p w14:paraId="38FAB8FF" w14:textId="77777777" w:rsidR="00825C15" w:rsidRPr="00825C15" w:rsidRDefault="00825C15" w:rsidP="00825C15">
      <w:pPr>
        <w:widowControl/>
        <w:numPr>
          <w:ilvl w:val="0"/>
          <w:numId w:val="2"/>
        </w:numPr>
        <w:shd w:val="clear" w:color="auto" w:fill="EE8833"/>
        <w:ind w:left="495"/>
        <w:jc w:val="center"/>
        <w:textAlignment w:val="baseline"/>
        <w:outlineLvl w:val="3"/>
        <w:rPr>
          <w:rFonts w:ascii="inherit" w:eastAsia="微軟正黑體" w:hAnsi="inherit" w:cs="新細明體" w:hint="eastAsia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萬華火車站</w:t>
      </w:r>
    </w:p>
    <w:p w14:paraId="0597EE8C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495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萬華火車站出口出站，步行約 1 分鐘</w:t>
      </w:r>
    </w:p>
    <w:p w14:paraId="30A73785" w14:textId="77777777" w:rsidR="00825C15" w:rsidRPr="00825C15" w:rsidRDefault="00825C15" w:rsidP="00825C15">
      <w:pPr>
        <w:widowControl/>
        <w:shd w:val="clear" w:color="auto" w:fill="EE8833"/>
        <w:spacing w:after="100" w:afterAutospacing="1"/>
        <w:jc w:val="center"/>
        <w:textAlignment w:val="baseline"/>
        <w:outlineLvl w:val="3"/>
        <w:rPr>
          <w:rFonts w:ascii="inherit" w:eastAsia="微軟正黑體" w:hAnsi="inherit" w:cs="新細明體" w:hint="eastAsia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路線圖</w:t>
      </w:r>
    </w:p>
    <w:p w14:paraId="1A09A7CF" w14:textId="77777777" w:rsidR="00825C15" w:rsidRPr="00825C15" w:rsidRDefault="00825C15" w:rsidP="00825C15">
      <w:pPr>
        <w:widowControl/>
        <w:shd w:val="clear" w:color="auto" w:fill="FFFFFF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/>
          <w:noProof/>
          <w:color w:val="333333"/>
          <w:kern w:val="0"/>
          <w:szCs w:val="24"/>
        </w:rPr>
        <w:lastRenderedPageBreak/>
        <w:drawing>
          <wp:inline distT="0" distB="0" distL="0" distR="0" wp14:anchorId="2D93B2BF" wp14:editId="163D1BF6">
            <wp:extent cx="1905000" cy="1714500"/>
            <wp:effectExtent l="0" t="0" r="0" b="0"/>
            <wp:docPr id="1" name="圖片 1" descr="格萊天漾路線圖">
              <a:hlinkClick xmlns:a="http://schemas.openxmlformats.org/drawingml/2006/main" r:id="rId7" tgtFrame="&quot;_blank&quot;" tooltip="&quot;點擊觀看大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格萊天漾路線圖">
                      <a:hlinkClick r:id="rId7" tgtFrame="&quot;_blank&quot;" tooltip="&quot;點擊觀看大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7667" w14:textId="77777777" w:rsidR="00825C15" w:rsidRPr="00825C15" w:rsidRDefault="00825C15" w:rsidP="00825C15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inherit" w:eastAsia="微軟正黑體" w:hAnsi="inherit" w:cs="新細明體" w:hint="eastAsia"/>
          <w:color w:val="888888"/>
          <w:kern w:val="0"/>
          <w:sz w:val="36"/>
          <w:szCs w:val="36"/>
        </w:rPr>
      </w:pP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[ 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自行開車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 ]</w:t>
      </w:r>
    </w:p>
    <w:p w14:paraId="25065531" w14:textId="77777777" w:rsidR="00825C15" w:rsidRPr="00825C15" w:rsidRDefault="00825C15" w:rsidP="00825C15">
      <w:pPr>
        <w:widowControl/>
        <w:numPr>
          <w:ilvl w:val="0"/>
          <w:numId w:val="3"/>
        </w:numPr>
        <w:shd w:val="clear" w:color="auto" w:fill="EE8833"/>
        <w:jc w:val="center"/>
        <w:textAlignment w:val="baseline"/>
        <w:outlineLvl w:val="3"/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南下</w:t>
      </w:r>
    </w:p>
    <w:p w14:paraId="7EFEF15E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國道一號 25B 出口 [台北] 下交流道→重慶北路→右轉市民大道→左轉塔城街→接中華路→直行至艋舺大道</w:t>
      </w:r>
    </w:p>
    <w:p w14:paraId="157EA8AC" w14:textId="77777777" w:rsidR="00825C15" w:rsidRPr="00825C15" w:rsidRDefault="00825C15" w:rsidP="00825C15">
      <w:pPr>
        <w:widowControl/>
        <w:numPr>
          <w:ilvl w:val="0"/>
          <w:numId w:val="3"/>
        </w:numPr>
        <w:shd w:val="clear" w:color="auto" w:fill="EE8833"/>
        <w:jc w:val="center"/>
        <w:textAlignment w:val="baseline"/>
        <w:outlineLvl w:val="3"/>
        <w:rPr>
          <w:rFonts w:ascii="inherit" w:eastAsia="微軟正黑體" w:hAnsi="inherit" w:cs="新細明體" w:hint="eastAsia"/>
          <w:b/>
          <w:bCs/>
          <w:color w:val="FFFFFF"/>
          <w:kern w:val="0"/>
          <w:szCs w:val="24"/>
        </w:rPr>
      </w:pPr>
      <w:r w:rsidRPr="00825C15">
        <w:rPr>
          <w:rFonts w:ascii="inherit" w:eastAsia="微軟正黑體" w:hAnsi="inherit" w:cs="新細明體"/>
          <w:b/>
          <w:bCs/>
          <w:color w:val="FFFFFF"/>
          <w:kern w:val="0"/>
          <w:szCs w:val="24"/>
        </w:rPr>
        <w:t>北上</w:t>
      </w:r>
    </w:p>
    <w:p w14:paraId="37199C56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國道一號 25 出口 [台北] 下交流道→重慶北路→右轉市民大道→左轉塔城街→接中華路→直行至艋舺大道</w:t>
      </w:r>
    </w:p>
    <w:p w14:paraId="6C8F5E84" w14:textId="77777777" w:rsidR="00825C15" w:rsidRPr="00825C15" w:rsidRDefault="00825C15" w:rsidP="00825C15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inherit" w:eastAsia="微軟正黑體" w:hAnsi="inherit" w:cs="新細明體" w:hint="eastAsia"/>
          <w:color w:val="888888"/>
          <w:kern w:val="0"/>
          <w:sz w:val="36"/>
          <w:szCs w:val="36"/>
        </w:rPr>
      </w:pP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[ 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停車服務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 xml:space="preserve"> ] </w:t>
      </w:r>
      <w:r w:rsidRPr="00825C15">
        <w:rPr>
          <w:rFonts w:ascii="inherit" w:eastAsia="微軟正黑體" w:hAnsi="inherit" w:cs="新細明體"/>
          <w:color w:val="888888"/>
          <w:kern w:val="0"/>
          <w:sz w:val="36"/>
          <w:szCs w:val="36"/>
        </w:rPr>
        <w:t>貼心小提醒：假日停車位有限，請多利用大眾運輸工具，避免停車過久。</w:t>
      </w:r>
    </w:p>
    <w:p w14:paraId="5329CE89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/>
          <w:color w:val="888888"/>
          <w:kern w:val="0"/>
          <w:szCs w:val="24"/>
        </w:rPr>
      </w:pPr>
      <w:hyperlink r:id="rId9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特約停車塔凱達大飯店附屬停車場</w:t>
        </w:r>
      </w:hyperlink>
    </w:p>
    <w:p w14:paraId="05E53CDB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臺北市萬華區艋舺大道 260 號 (距離400公尺)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41666649" wp14:editId="106EE806">
            <wp:extent cx="297180" cy="2209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09C7D811" wp14:editId="52B8CC42">
            <wp:extent cx="297180" cy="220980"/>
            <wp:effectExtent l="0" t="0" r="762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1680CFC7" wp14:editId="66AFC9ED">
            <wp:extent cx="297180" cy="220980"/>
            <wp:effectExtent l="0" t="0" r="762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644A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1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特約停車場長揚停車場（康定店）</w:t>
        </w:r>
      </w:hyperlink>
    </w:p>
    <w:p w14:paraId="618056B4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台北市萬華區康定路 317 巷 1 號(距離10公尺)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00E271A0" wp14:editId="0A2DC984">
            <wp:extent cx="297180" cy="220980"/>
            <wp:effectExtent l="0" t="0" r="762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1FD8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2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特約停車場台鐵行李房停車場</w:t>
        </w:r>
      </w:hyperlink>
    </w:p>
    <w:p w14:paraId="5B515CE3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台北市萬華區艋舺大道 101 號(距離10公尺)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19987DE3" wp14:editId="0A221D89">
            <wp:extent cx="297180" cy="220980"/>
            <wp:effectExtent l="0" t="0" r="762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4BE0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pict w14:anchorId="0E45CF4E">
          <v:rect id="_x0000_i1025" style="width:0;height:0" o:hralign="center" o:hrstd="t" o:hr="t" fillcolor="#a0a0a0" stroked="f"/>
        </w:pict>
      </w:r>
    </w:p>
    <w:p w14:paraId="581CC14A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3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萬華行政中心 B1 停車場</w:t>
        </w:r>
      </w:hyperlink>
    </w:p>
    <w:p w14:paraId="623029D1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台北市萬華區和平西路 3 段 120 號 B1(距離600公尺)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59D3C51B" wp14:editId="2C3D8513">
            <wp:extent cx="297180" cy="220980"/>
            <wp:effectExtent l="0" t="0" r="762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4F26E70B" wp14:editId="227A733B">
            <wp:extent cx="297180" cy="220980"/>
            <wp:effectExtent l="0" t="0" r="7620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3361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4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正好停艋舺公園地下停車場</w:t>
        </w:r>
      </w:hyperlink>
    </w:p>
    <w:p w14:paraId="4ADD0520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台北市萬華區西園路一段 145 號 B1(距離650公尺)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4EA356EE" wp14:editId="6B4AC0A6">
            <wp:extent cx="297180" cy="220980"/>
            <wp:effectExtent l="0" t="0" r="7620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2DCD987E" wp14:editId="435FDABD">
            <wp:extent cx="297180" cy="220980"/>
            <wp:effectExtent l="0" t="0" r="7620" b="76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4F574AA4" wp14:editId="62D76871">
            <wp:extent cx="297180" cy="220980"/>
            <wp:effectExtent l="0" t="0" r="7620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8441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5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莒光立體停車場</w:t>
        </w:r>
      </w:hyperlink>
    </w:p>
    <w:p w14:paraId="40506D1B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台北市萬華區莒光路 137 號(距離600公尺)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7CCEA258" wp14:editId="1E370E5F">
            <wp:extent cx="297180" cy="220980"/>
            <wp:effectExtent l="0" t="0" r="7620" b="762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412F047D" wp14:editId="43CC0F2B">
            <wp:extent cx="297180" cy="220980"/>
            <wp:effectExtent l="0" t="0" r="762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066EC3B5" wp14:editId="6256BD7C">
            <wp:extent cx="297180" cy="220980"/>
            <wp:effectExtent l="0" t="0" r="7620" b="762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8730" w14:textId="77777777" w:rsidR="00825C15" w:rsidRPr="00825C15" w:rsidRDefault="00825C15" w:rsidP="00825C15">
      <w:pPr>
        <w:widowControl/>
        <w:numPr>
          <w:ilvl w:val="0"/>
          <w:numId w:val="4"/>
        </w:numPr>
        <w:shd w:val="clear" w:color="auto" w:fill="FFFFFF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hyperlink r:id="rId16" w:tgtFrame="_blank" w:history="1">
        <w:r w:rsidRPr="00825C15">
          <w:rPr>
            <w:rFonts w:ascii="微軟正黑體" w:eastAsia="微軟正黑體" w:hAnsi="微軟正黑體" w:cs="新細明體" w:hint="eastAsia"/>
            <w:color w:val="EE8833"/>
            <w:kern w:val="0"/>
            <w:szCs w:val="24"/>
            <w:u w:val="single"/>
          </w:rPr>
          <w:t>俥亭停車場萬華場</w:t>
        </w:r>
      </w:hyperlink>
    </w:p>
    <w:p w14:paraId="262D293C" w14:textId="77777777" w:rsidR="00825C15" w:rsidRPr="00825C15" w:rsidRDefault="00825C15" w:rsidP="00825C15">
      <w:pPr>
        <w:widowControl/>
        <w:shd w:val="clear" w:color="auto" w:fill="FFFFFF"/>
        <w:spacing w:after="100" w:afterAutospacing="1"/>
        <w:ind w:left="720"/>
        <w:rPr>
          <w:rFonts w:ascii="微軟正黑體" w:eastAsia="微軟正黑體" w:hAnsi="微軟正黑體" w:cs="新細明體" w:hint="eastAsia"/>
          <w:color w:val="888888"/>
          <w:kern w:val="0"/>
          <w:szCs w:val="24"/>
        </w:rPr>
      </w:pPr>
      <w:r w:rsidRPr="00825C15">
        <w:rPr>
          <w:rFonts w:ascii="微軟正黑體" w:eastAsia="微軟正黑體" w:hAnsi="微軟正黑體" w:cs="新細明體" w:hint="eastAsia"/>
          <w:color w:val="888888"/>
          <w:kern w:val="0"/>
          <w:szCs w:val="24"/>
        </w:rPr>
        <w:t>台北市萬華區大理街 57 號旁空地(距離500公尺)  </w:t>
      </w:r>
      <w:r w:rsidRPr="00825C15">
        <w:rPr>
          <w:rFonts w:ascii="微軟正黑體" w:eastAsia="微軟正黑體" w:hAnsi="微軟正黑體" w:cs="新細明體"/>
          <w:noProof/>
          <w:color w:val="888888"/>
          <w:kern w:val="0"/>
          <w:szCs w:val="24"/>
        </w:rPr>
        <w:drawing>
          <wp:inline distT="0" distB="0" distL="0" distR="0" wp14:anchorId="34B029DF" wp14:editId="65431219">
            <wp:extent cx="297180" cy="220980"/>
            <wp:effectExtent l="0" t="0" r="7620" b="762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0CD7" w14:textId="77777777" w:rsidR="00D167EE" w:rsidRPr="00825C15" w:rsidRDefault="00D167EE"/>
    <w:sectPr w:rsidR="00D167EE" w:rsidRPr="00825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5749E" w14:textId="77777777" w:rsidR="00825C15" w:rsidRDefault="00825C15" w:rsidP="00825C15">
      <w:r>
        <w:separator/>
      </w:r>
    </w:p>
  </w:endnote>
  <w:endnote w:type="continuationSeparator" w:id="0">
    <w:p w14:paraId="2B35E397" w14:textId="77777777" w:rsidR="00825C15" w:rsidRDefault="00825C15" w:rsidP="008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7CCAE" w14:textId="77777777" w:rsidR="00825C15" w:rsidRDefault="00825C15" w:rsidP="00825C15">
      <w:r>
        <w:separator/>
      </w:r>
    </w:p>
  </w:footnote>
  <w:footnote w:type="continuationSeparator" w:id="0">
    <w:p w14:paraId="31119DFB" w14:textId="77777777" w:rsidR="00825C15" w:rsidRDefault="00825C15" w:rsidP="0082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5FF"/>
    <w:multiLevelType w:val="multilevel"/>
    <w:tmpl w:val="5A0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4AA5"/>
    <w:multiLevelType w:val="multilevel"/>
    <w:tmpl w:val="D74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239BD"/>
    <w:multiLevelType w:val="multilevel"/>
    <w:tmpl w:val="9C4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04E7B"/>
    <w:multiLevelType w:val="multilevel"/>
    <w:tmpl w:val="0BD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A6"/>
    <w:rsid w:val="00825C15"/>
    <w:rsid w:val="00D167EE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1E27F3-CEEB-4BCA-88CC-E413A15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41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75206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97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o.gl/maps/SXDUV1kchZ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-skyview.com/images/traffic-map.jpg" TargetMode="External"/><Relationship Id="rId12" Type="http://schemas.openxmlformats.org/officeDocument/2006/relationships/hyperlink" Target="https://goo.gl/maps/7Y2AqmKSTMXTVRz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maps/Ys435GZ3PVH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J5iZadAbz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o.gl/maps/2D4L9PnKtM32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oo.gl/maps/TDgaitZ1SzT2" TargetMode="External"/><Relationship Id="rId14" Type="http://schemas.openxmlformats.org/officeDocument/2006/relationships/hyperlink" Target="https://goo.gl/maps/dMpvwAjcw6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chen</dc:creator>
  <cp:keywords/>
  <dc:description/>
  <cp:lastModifiedBy>brian chen</cp:lastModifiedBy>
  <cp:revision>2</cp:revision>
  <dcterms:created xsi:type="dcterms:W3CDTF">2020-04-17T02:48:00Z</dcterms:created>
  <dcterms:modified xsi:type="dcterms:W3CDTF">2020-04-17T02:50:00Z</dcterms:modified>
</cp:coreProperties>
</file>